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61A" w:rsidRPr="00FF761A" w:rsidRDefault="00FF761A" w:rsidP="00FF761A">
      <w:pPr>
        <w:spacing w:line="360" w:lineRule="auto"/>
        <w:jc w:val="center"/>
        <w:rPr>
          <w:b/>
          <w:sz w:val="24"/>
          <w:szCs w:val="24"/>
        </w:rPr>
      </w:pPr>
      <w:r w:rsidRPr="00FF761A">
        <w:rPr>
          <w:rFonts w:hint="eastAsia"/>
          <w:b/>
          <w:sz w:val="24"/>
          <w:szCs w:val="24"/>
        </w:rPr>
        <w:t>S</w:t>
      </w:r>
      <w:r w:rsidRPr="00FF761A">
        <w:rPr>
          <w:b/>
          <w:sz w:val="24"/>
          <w:szCs w:val="24"/>
        </w:rPr>
        <w:t>UPPLEMENTARY DATA</w:t>
      </w:r>
    </w:p>
    <w:p w:rsidR="00903047" w:rsidRDefault="00903047" w:rsidP="00903047">
      <w:pPr>
        <w:spacing w:line="480" w:lineRule="auto"/>
        <w:jc w:val="center"/>
        <w:rPr>
          <w:sz w:val="24"/>
          <w:szCs w:val="24"/>
        </w:rPr>
      </w:pPr>
      <w:r>
        <w:rPr>
          <w:sz w:val="24"/>
          <w:szCs w:val="24"/>
        </w:rPr>
        <w:t xml:space="preserve">Relation between quantity and quality of peri-coronary epicardial adipose tissue and its underlying </w:t>
      </w:r>
    </w:p>
    <w:p w:rsidR="00903047" w:rsidRPr="00903047" w:rsidRDefault="00903047" w:rsidP="001F5577">
      <w:pPr>
        <w:spacing w:line="480" w:lineRule="auto"/>
        <w:jc w:val="center"/>
        <w:rPr>
          <w:b/>
          <w:sz w:val="24"/>
          <w:szCs w:val="24"/>
        </w:rPr>
      </w:pPr>
      <w:r>
        <w:rPr>
          <w:sz w:val="24"/>
          <w:szCs w:val="24"/>
        </w:rPr>
        <w:t>hemodynamically significant coronary stenosis</w:t>
      </w:r>
    </w:p>
    <w:p w:rsidR="00504472" w:rsidRPr="00504472" w:rsidRDefault="00504472" w:rsidP="00504472">
      <w:pPr>
        <w:spacing w:line="360" w:lineRule="auto"/>
        <w:jc w:val="center"/>
        <w:rPr>
          <w:sz w:val="24"/>
          <w:szCs w:val="24"/>
          <w:vertAlign w:val="superscript"/>
        </w:rPr>
      </w:pPr>
      <w:r w:rsidRPr="00504472">
        <w:rPr>
          <w:sz w:val="24"/>
          <w:szCs w:val="24"/>
        </w:rPr>
        <w:t>Yu Du, MD, Lin Yang, MD, Yan Liu, MD, Bangguo Yang, MD, Sai Lv, MD, Chenping Hu, MD,Yong Zhu, MD,Hongkai Zhang, MD, Qian Ma, MD, PhD, Zhijian Wang, MD, Yuyang Liu, MD, Dongmei Shi, MD, Yingxin Zhao, MD, Lei Xu, MD, Yujie Zhou, MD, PhD</w:t>
      </w:r>
      <w:bookmarkStart w:id="0" w:name="_GoBack"/>
      <w:bookmarkEnd w:id="0"/>
    </w:p>
    <w:p w:rsidR="00A31BB7" w:rsidRPr="00504472" w:rsidRDefault="00A31BB7" w:rsidP="00170D60">
      <w:pPr>
        <w:spacing w:line="360" w:lineRule="auto"/>
        <w:rPr>
          <w:b/>
          <w:sz w:val="24"/>
          <w:szCs w:val="24"/>
        </w:rPr>
      </w:pPr>
    </w:p>
    <w:p w:rsidR="00B36756" w:rsidRDefault="00B36756" w:rsidP="00170D60">
      <w:pPr>
        <w:spacing w:line="360" w:lineRule="auto"/>
        <w:rPr>
          <w:b/>
          <w:sz w:val="24"/>
          <w:szCs w:val="24"/>
        </w:rPr>
      </w:pPr>
    </w:p>
    <w:p w:rsidR="00B36756" w:rsidRDefault="00B36756" w:rsidP="00170D60">
      <w:pPr>
        <w:spacing w:line="360" w:lineRule="auto"/>
        <w:rPr>
          <w:b/>
          <w:sz w:val="24"/>
          <w:szCs w:val="24"/>
        </w:rPr>
      </w:pPr>
    </w:p>
    <w:p w:rsidR="00B36756" w:rsidRDefault="00B36756" w:rsidP="00170D60">
      <w:pPr>
        <w:spacing w:line="360" w:lineRule="auto"/>
        <w:rPr>
          <w:b/>
          <w:sz w:val="24"/>
          <w:szCs w:val="24"/>
        </w:rPr>
      </w:pPr>
    </w:p>
    <w:p w:rsidR="00B36756" w:rsidRDefault="00B36756" w:rsidP="00170D60">
      <w:pPr>
        <w:spacing w:line="360" w:lineRule="auto"/>
        <w:rPr>
          <w:b/>
          <w:sz w:val="24"/>
          <w:szCs w:val="24"/>
        </w:rPr>
      </w:pPr>
    </w:p>
    <w:p w:rsidR="00B36756" w:rsidRDefault="00B36756" w:rsidP="00170D60">
      <w:pPr>
        <w:spacing w:line="360" w:lineRule="auto"/>
        <w:rPr>
          <w:b/>
          <w:sz w:val="24"/>
          <w:szCs w:val="24"/>
        </w:rPr>
      </w:pPr>
    </w:p>
    <w:p w:rsidR="00B36756" w:rsidRDefault="00B36756" w:rsidP="00170D60">
      <w:pPr>
        <w:spacing w:line="360" w:lineRule="auto"/>
        <w:rPr>
          <w:b/>
          <w:sz w:val="24"/>
          <w:szCs w:val="24"/>
        </w:rPr>
      </w:pPr>
    </w:p>
    <w:p w:rsidR="00B36756" w:rsidRDefault="00B36756" w:rsidP="00170D60">
      <w:pPr>
        <w:spacing w:line="360" w:lineRule="auto"/>
        <w:rPr>
          <w:b/>
          <w:sz w:val="24"/>
          <w:szCs w:val="24"/>
        </w:rPr>
      </w:pPr>
    </w:p>
    <w:p w:rsidR="00B36756" w:rsidRDefault="00B36756" w:rsidP="00170D60">
      <w:pPr>
        <w:spacing w:line="360" w:lineRule="auto"/>
        <w:rPr>
          <w:b/>
          <w:sz w:val="24"/>
          <w:szCs w:val="24"/>
        </w:rPr>
      </w:pPr>
    </w:p>
    <w:p w:rsidR="00B36756" w:rsidRDefault="00B36756" w:rsidP="00170D60">
      <w:pPr>
        <w:spacing w:line="360" w:lineRule="auto"/>
        <w:rPr>
          <w:b/>
          <w:sz w:val="24"/>
          <w:szCs w:val="24"/>
        </w:rPr>
      </w:pPr>
    </w:p>
    <w:p w:rsidR="00B36756" w:rsidRPr="00FF761A" w:rsidRDefault="00B36756" w:rsidP="00170D60">
      <w:pPr>
        <w:spacing w:line="360" w:lineRule="auto"/>
        <w:rPr>
          <w:b/>
          <w:sz w:val="24"/>
          <w:szCs w:val="24"/>
        </w:rPr>
      </w:pPr>
    </w:p>
    <w:p w:rsidR="000C050D" w:rsidRDefault="00524B9E" w:rsidP="00524B9E">
      <w:pPr>
        <w:spacing w:line="360" w:lineRule="auto"/>
        <w:jc w:val="center"/>
        <w:rPr>
          <w:sz w:val="24"/>
          <w:szCs w:val="24"/>
        </w:rPr>
      </w:pPr>
      <w:r w:rsidRPr="00524B9E">
        <w:rPr>
          <w:noProof/>
          <w:sz w:val="24"/>
          <w:szCs w:val="24"/>
        </w:rPr>
        <w:lastRenderedPageBreak/>
        <w:drawing>
          <wp:inline distT="0" distB="0" distL="0" distR="0" wp14:anchorId="423A755A" wp14:editId="18766EC2">
            <wp:extent cx="7150443" cy="35478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7157528" cy="3551326"/>
                    </a:xfrm>
                    <a:prstGeom prst="rect">
                      <a:avLst/>
                    </a:prstGeom>
                  </pic:spPr>
                </pic:pic>
              </a:graphicData>
            </a:graphic>
          </wp:inline>
        </w:drawing>
      </w:r>
    </w:p>
    <w:p w:rsidR="00170D60" w:rsidRDefault="00DC351C" w:rsidP="00170D60">
      <w:pPr>
        <w:spacing w:line="360" w:lineRule="auto"/>
        <w:rPr>
          <w:sz w:val="24"/>
          <w:szCs w:val="24"/>
        </w:rPr>
      </w:pPr>
      <w:r>
        <w:rPr>
          <w:b/>
          <w:sz w:val="24"/>
          <w:szCs w:val="24"/>
        </w:rPr>
        <w:t>Figure S</w:t>
      </w:r>
      <w:r w:rsidR="00524B9E">
        <w:rPr>
          <w:b/>
          <w:sz w:val="24"/>
          <w:szCs w:val="24"/>
        </w:rPr>
        <w:t>1</w:t>
      </w:r>
      <w:r w:rsidR="00170D60" w:rsidRPr="00170D60">
        <w:rPr>
          <w:b/>
          <w:sz w:val="24"/>
          <w:szCs w:val="24"/>
        </w:rPr>
        <w:t>.</w:t>
      </w:r>
      <w:r w:rsidR="00170D60" w:rsidRPr="00170D60">
        <w:rPr>
          <w:b/>
          <w:bCs/>
          <w:iCs/>
          <w:sz w:val="24"/>
          <w:szCs w:val="24"/>
        </w:rPr>
        <w:t xml:space="preserve"> </w:t>
      </w:r>
      <w:r w:rsidR="00170D60" w:rsidRPr="00170D60">
        <w:rPr>
          <w:sz w:val="24"/>
          <w:szCs w:val="24"/>
        </w:rPr>
        <w:t>Study flow-chart. CTA, computed tomography angiogram; CA, coronary angiograph; FFR, fractional flow reserve; ACS, acute coronary syndrome; MI, myocardial infarction; PCI, percutaneous coronary intervention; CABG, coronary artery bypass grafting; LM, left main; CTO, chronic total occlusion.</w:t>
      </w:r>
    </w:p>
    <w:p w:rsidR="00524B9E" w:rsidRDefault="00524B9E" w:rsidP="00170D60">
      <w:pPr>
        <w:spacing w:line="360" w:lineRule="auto"/>
        <w:rPr>
          <w:sz w:val="24"/>
          <w:szCs w:val="24"/>
        </w:rPr>
      </w:pPr>
    </w:p>
    <w:p w:rsidR="00524B9E" w:rsidRDefault="00524B9E" w:rsidP="00170D60">
      <w:pPr>
        <w:spacing w:line="360" w:lineRule="auto"/>
        <w:rPr>
          <w:sz w:val="24"/>
          <w:szCs w:val="24"/>
        </w:rPr>
      </w:pPr>
    </w:p>
    <w:p w:rsidR="00524B9E" w:rsidRPr="00170D60" w:rsidRDefault="00524B9E" w:rsidP="00524B9E">
      <w:pPr>
        <w:spacing w:line="360" w:lineRule="auto"/>
        <w:rPr>
          <w:sz w:val="24"/>
          <w:szCs w:val="24"/>
        </w:rPr>
      </w:pPr>
      <w:r w:rsidRPr="00170D60">
        <w:rPr>
          <w:b/>
          <w:sz w:val="24"/>
          <w:szCs w:val="24"/>
        </w:rPr>
        <w:lastRenderedPageBreak/>
        <w:t xml:space="preserve">Table </w:t>
      </w:r>
      <w:r>
        <w:rPr>
          <w:b/>
          <w:sz w:val="24"/>
          <w:szCs w:val="24"/>
        </w:rPr>
        <w:t>S1</w:t>
      </w:r>
      <w:r w:rsidRPr="00170D60">
        <w:rPr>
          <w:b/>
          <w:sz w:val="24"/>
          <w:szCs w:val="24"/>
        </w:rPr>
        <w:t>. Lesion level predictors for ischemia in univariate and multivariate analyses.</w:t>
      </w:r>
    </w:p>
    <w:tbl>
      <w:tblPr>
        <w:tblStyle w:val="a5"/>
        <w:tblW w:w="0" w:type="auto"/>
        <w:tblLook w:val="04A0" w:firstRow="1" w:lastRow="0" w:firstColumn="1" w:lastColumn="0" w:noHBand="0" w:noVBand="1"/>
      </w:tblPr>
      <w:tblGrid>
        <w:gridCol w:w="2581"/>
        <w:gridCol w:w="764"/>
        <w:gridCol w:w="1384"/>
        <w:gridCol w:w="764"/>
        <w:gridCol w:w="222"/>
        <w:gridCol w:w="764"/>
        <w:gridCol w:w="1263"/>
        <w:gridCol w:w="764"/>
      </w:tblGrid>
      <w:tr w:rsidR="00524B9E" w:rsidRPr="00170D60" w:rsidTr="000E002E">
        <w:tc>
          <w:tcPr>
            <w:tcW w:w="0" w:type="auto"/>
            <w:vMerge w:val="restart"/>
            <w:tcBorders>
              <w:top w:val="single" w:sz="12" w:space="0" w:color="auto"/>
              <w:left w:val="nil"/>
              <w:bottom w:val="nil"/>
              <w:right w:val="nil"/>
            </w:tcBorders>
          </w:tcPr>
          <w:p w:rsidR="00524B9E" w:rsidRPr="00170D60" w:rsidRDefault="00524B9E" w:rsidP="000E002E">
            <w:pPr>
              <w:tabs>
                <w:tab w:val="left" w:pos="1260"/>
              </w:tabs>
              <w:spacing w:line="360" w:lineRule="auto"/>
              <w:rPr>
                <w:sz w:val="24"/>
                <w:szCs w:val="24"/>
              </w:rPr>
            </w:pPr>
            <w:r w:rsidRPr="00170D60">
              <w:rPr>
                <w:rFonts w:hint="eastAsia"/>
                <w:b/>
                <w:sz w:val="24"/>
                <w:szCs w:val="24"/>
              </w:rPr>
              <w:t>Variable</w:t>
            </w:r>
            <w:r w:rsidRPr="00170D60">
              <w:rPr>
                <w:b/>
                <w:sz w:val="24"/>
                <w:szCs w:val="24"/>
              </w:rPr>
              <w:tab/>
            </w:r>
          </w:p>
        </w:tc>
        <w:tc>
          <w:tcPr>
            <w:tcW w:w="0" w:type="auto"/>
            <w:gridSpan w:val="3"/>
            <w:tcBorders>
              <w:top w:val="single" w:sz="12" w:space="0" w:color="auto"/>
              <w:left w:val="nil"/>
              <w:bottom w:val="single" w:sz="8" w:space="0" w:color="auto"/>
              <w:right w:val="nil"/>
            </w:tcBorders>
          </w:tcPr>
          <w:p w:rsidR="00524B9E" w:rsidRPr="00170D60" w:rsidRDefault="00524B9E" w:rsidP="000E002E">
            <w:pPr>
              <w:spacing w:line="360" w:lineRule="auto"/>
              <w:jc w:val="center"/>
              <w:rPr>
                <w:sz w:val="24"/>
                <w:szCs w:val="24"/>
              </w:rPr>
            </w:pPr>
            <w:r w:rsidRPr="00170D60">
              <w:rPr>
                <w:b/>
                <w:sz w:val="24"/>
                <w:szCs w:val="24"/>
              </w:rPr>
              <w:t>Univariate Analysis</w:t>
            </w:r>
          </w:p>
        </w:tc>
        <w:tc>
          <w:tcPr>
            <w:tcW w:w="0" w:type="auto"/>
            <w:tcBorders>
              <w:top w:val="single" w:sz="12" w:space="0" w:color="auto"/>
              <w:left w:val="nil"/>
              <w:bottom w:val="nil"/>
              <w:right w:val="nil"/>
            </w:tcBorders>
          </w:tcPr>
          <w:p w:rsidR="00524B9E" w:rsidRPr="00170D60" w:rsidRDefault="00524B9E" w:rsidP="000E002E">
            <w:pPr>
              <w:spacing w:line="360" w:lineRule="auto"/>
              <w:jc w:val="center"/>
              <w:rPr>
                <w:sz w:val="24"/>
                <w:szCs w:val="24"/>
              </w:rPr>
            </w:pPr>
          </w:p>
        </w:tc>
        <w:tc>
          <w:tcPr>
            <w:tcW w:w="0" w:type="auto"/>
            <w:gridSpan w:val="3"/>
            <w:tcBorders>
              <w:top w:val="single" w:sz="12" w:space="0" w:color="auto"/>
              <w:left w:val="nil"/>
              <w:bottom w:val="single" w:sz="8" w:space="0" w:color="auto"/>
              <w:right w:val="nil"/>
            </w:tcBorders>
          </w:tcPr>
          <w:p w:rsidR="00524B9E" w:rsidRPr="00170D60" w:rsidRDefault="00524B9E" w:rsidP="000E002E">
            <w:pPr>
              <w:spacing w:line="360" w:lineRule="auto"/>
              <w:jc w:val="center"/>
              <w:rPr>
                <w:sz w:val="24"/>
                <w:szCs w:val="24"/>
              </w:rPr>
            </w:pPr>
            <w:r w:rsidRPr="00170D60">
              <w:rPr>
                <w:b/>
                <w:sz w:val="24"/>
                <w:szCs w:val="24"/>
              </w:rPr>
              <w:t>Multivariate Analysis</w:t>
            </w:r>
          </w:p>
        </w:tc>
      </w:tr>
      <w:tr w:rsidR="00524B9E" w:rsidRPr="00170D60" w:rsidTr="000E002E">
        <w:tc>
          <w:tcPr>
            <w:tcW w:w="0" w:type="auto"/>
            <w:vMerge/>
            <w:tcBorders>
              <w:top w:val="nil"/>
              <w:left w:val="nil"/>
              <w:bottom w:val="single" w:sz="12" w:space="0" w:color="auto"/>
              <w:right w:val="nil"/>
            </w:tcBorders>
          </w:tcPr>
          <w:p w:rsidR="00524B9E" w:rsidRPr="00170D60" w:rsidRDefault="00524B9E" w:rsidP="000E002E">
            <w:pPr>
              <w:spacing w:line="360" w:lineRule="auto"/>
              <w:rPr>
                <w:sz w:val="24"/>
                <w:szCs w:val="24"/>
              </w:rPr>
            </w:pPr>
          </w:p>
        </w:tc>
        <w:tc>
          <w:tcPr>
            <w:tcW w:w="0" w:type="auto"/>
            <w:tcBorders>
              <w:top w:val="single" w:sz="8" w:space="0" w:color="auto"/>
              <w:left w:val="nil"/>
              <w:bottom w:val="single" w:sz="12" w:space="0" w:color="auto"/>
              <w:right w:val="nil"/>
            </w:tcBorders>
          </w:tcPr>
          <w:p w:rsidR="00524B9E" w:rsidRPr="00170D60" w:rsidRDefault="00524B9E" w:rsidP="000E002E">
            <w:pPr>
              <w:spacing w:line="360" w:lineRule="auto"/>
              <w:jc w:val="center"/>
              <w:rPr>
                <w:b/>
                <w:sz w:val="24"/>
                <w:szCs w:val="24"/>
              </w:rPr>
            </w:pPr>
            <w:r w:rsidRPr="00170D60">
              <w:rPr>
                <w:rFonts w:hint="eastAsia"/>
                <w:b/>
                <w:sz w:val="24"/>
                <w:szCs w:val="24"/>
              </w:rPr>
              <w:t>HR</w:t>
            </w:r>
          </w:p>
        </w:tc>
        <w:tc>
          <w:tcPr>
            <w:tcW w:w="0" w:type="auto"/>
            <w:tcBorders>
              <w:top w:val="single" w:sz="8" w:space="0" w:color="auto"/>
              <w:left w:val="nil"/>
              <w:bottom w:val="single" w:sz="12" w:space="0" w:color="auto"/>
              <w:right w:val="nil"/>
            </w:tcBorders>
          </w:tcPr>
          <w:p w:rsidR="00524B9E" w:rsidRPr="00170D60" w:rsidRDefault="00524B9E" w:rsidP="000E002E">
            <w:pPr>
              <w:spacing w:line="360" w:lineRule="auto"/>
              <w:jc w:val="center"/>
              <w:rPr>
                <w:b/>
                <w:sz w:val="24"/>
                <w:szCs w:val="24"/>
              </w:rPr>
            </w:pPr>
            <w:r w:rsidRPr="00170D60">
              <w:rPr>
                <w:rFonts w:hint="eastAsia"/>
                <w:b/>
                <w:sz w:val="24"/>
                <w:szCs w:val="24"/>
              </w:rPr>
              <w:t>95</w:t>
            </w:r>
            <w:r w:rsidRPr="00170D60">
              <w:rPr>
                <w:b/>
                <w:sz w:val="24"/>
                <w:szCs w:val="24"/>
              </w:rPr>
              <w:t>% CI</w:t>
            </w:r>
          </w:p>
        </w:tc>
        <w:tc>
          <w:tcPr>
            <w:tcW w:w="0" w:type="auto"/>
            <w:tcBorders>
              <w:top w:val="single" w:sz="8" w:space="0" w:color="auto"/>
              <w:left w:val="nil"/>
              <w:bottom w:val="single" w:sz="12" w:space="0" w:color="auto"/>
              <w:right w:val="nil"/>
            </w:tcBorders>
          </w:tcPr>
          <w:p w:rsidR="00524B9E" w:rsidRPr="00170D60" w:rsidRDefault="00524B9E" w:rsidP="000E002E">
            <w:pPr>
              <w:spacing w:line="360" w:lineRule="auto"/>
              <w:jc w:val="center"/>
              <w:rPr>
                <w:b/>
                <w:sz w:val="24"/>
                <w:szCs w:val="24"/>
              </w:rPr>
            </w:pPr>
            <w:r w:rsidRPr="00170D60">
              <w:rPr>
                <w:rFonts w:hint="eastAsia"/>
                <w:b/>
                <w:sz w:val="24"/>
                <w:szCs w:val="24"/>
              </w:rPr>
              <w:t>P</w:t>
            </w:r>
          </w:p>
        </w:tc>
        <w:tc>
          <w:tcPr>
            <w:tcW w:w="0" w:type="auto"/>
            <w:tcBorders>
              <w:top w:val="nil"/>
              <w:left w:val="nil"/>
              <w:bottom w:val="single" w:sz="12" w:space="0" w:color="auto"/>
              <w:right w:val="nil"/>
            </w:tcBorders>
          </w:tcPr>
          <w:p w:rsidR="00524B9E" w:rsidRPr="00170D60" w:rsidRDefault="00524B9E" w:rsidP="000E002E">
            <w:pPr>
              <w:spacing w:line="360" w:lineRule="auto"/>
              <w:jc w:val="center"/>
              <w:rPr>
                <w:sz w:val="24"/>
                <w:szCs w:val="24"/>
              </w:rPr>
            </w:pPr>
          </w:p>
        </w:tc>
        <w:tc>
          <w:tcPr>
            <w:tcW w:w="0" w:type="auto"/>
            <w:tcBorders>
              <w:top w:val="single" w:sz="8" w:space="0" w:color="auto"/>
              <w:left w:val="nil"/>
              <w:bottom w:val="single" w:sz="12" w:space="0" w:color="auto"/>
              <w:right w:val="nil"/>
            </w:tcBorders>
          </w:tcPr>
          <w:p w:rsidR="00524B9E" w:rsidRPr="00170D60" w:rsidRDefault="00524B9E" w:rsidP="000E002E">
            <w:pPr>
              <w:spacing w:line="360" w:lineRule="auto"/>
              <w:jc w:val="center"/>
              <w:rPr>
                <w:b/>
                <w:sz w:val="24"/>
                <w:szCs w:val="24"/>
              </w:rPr>
            </w:pPr>
            <w:r w:rsidRPr="00170D60">
              <w:rPr>
                <w:rFonts w:hint="eastAsia"/>
                <w:b/>
                <w:sz w:val="24"/>
                <w:szCs w:val="24"/>
              </w:rPr>
              <w:t>HR</w:t>
            </w:r>
          </w:p>
        </w:tc>
        <w:tc>
          <w:tcPr>
            <w:tcW w:w="0" w:type="auto"/>
            <w:tcBorders>
              <w:top w:val="single" w:sz="8" w:space="0" w:color="auto"/>
              <w:left w:val="nil"/>
              <w:bottom w:val="single" w:sz="12" w:space="0" w:color="auto"/>
              <w:right w:val="nil"/>
            </w:tcBorders>
          </w:tcPr>
          <w:p w:rsidR="00524B9E" w:rsidRPr="00170D60" w:rsidRDefault="00524B9E" w:rsidP="000E002E">
            <w:pPr>
              <w:spacing w:line="360" w:lineRule="auto"/>
              <w:jc w:val="center"/>
              <w:rPr>
                <w:b/>
                <w:sz w:val="24"/>
                <w:szCs w:val="24"/>
              </w:rPr>
            </w:pPr>
            <w:r w:rsidRPr="00170D60">
              <w:rPr>
                <w:rFonts w:hint="eastAsia"/>
                <w:b/>
                <w:sz w:val="24"/>
                <w:szCs w:val="24"/>
              </w:rPr>
              <w:t>95</w:t>
            </w:r>
            <w:r w:rsidRPr="00170D60">
              <w:rPr>
                <w:b/>
                <w:sz w:val="24"/>
                <w:szCs w:val="24"/>
              </w:rPr>
              <w:t>% CI</w:t>
            </w:r>
          </w:p>
        </w:tc>
        <w:tc>
          <w:tcPr>
            <w:tcW w:w="0" w:type="auto"/>
            <w:tcBorders>
              <w:top w:val="single" w:sz="8" w:space="0" w:color="auto"/>
              <w:left w:val="nil"/>
              <w:bottom w:val="single" w:sz="12" w:space="0" w:color="auto"/>
              <w:right w:val="nil"/>
            </w:tcBorders>
          </w:tcPr>
          <w:p w:rsidR="00524B9E" w:rsidRPr="00170D60" w:rsidRDefault="00524B9E" w:rsidP="000E002E">
            <w:pPr>
              <w:spacing w:line="360" w:lineRule="auto"/>
              <w:jc w:val="center"/>
              <w:rPr>
                <w:b/>
                <w:sz w:val="24"/>
                <w:szCs w:val="24"/>
              </w:rPr>
            </w:pPr>
            <w:r w:rsidRPr="00170D60">
              <w:rPr>
                <w:rFonts w:hint="eastAsia"/>
                <w:b/>
                <w:sz w:val="24"/>
                <w:szCs w:val="24"/>
              </w:rPr>
              <w:t>P</w:t>
            </w:r>
          </w:p>
        </w:tc>
      </w:tr>
      <w:tr w:rsidR="00524B9E" w:rsidRPr="00170D60" w:rsidTr="000E002E">
        <w:tc>
          <w:tcPr>
            <w:tcW w:w="0" w:type="auto"/>
            <w:tcBorders>
              <w:top w:val="single" w:sz="12" w:space="0" w:color="auto"/>
              <w:left w:val="nil"/>
              <w:bottom w:val="nil"/>
              <w:right w:val="nil"/>
            </w:tcBorders>
          </w:tcPr>
          <w:p w:rsidR="00524B9E" w:rsidRPr="00170D60" w:rsidRDefault="00524B9E" w:rsidP="000E002E">
            <w:pPr>
              <w:spacing w:line="360" w:lineRule="auto"/>
              <w:rPr>
                <w:sz w:val="24"/>
                <w:szCs w:val="24"/>
              </w:rPr>
            </w:pPr>
            <w:r w:rsidRPr="00170D60">
              <w:rPr>
                <w:sz w:val="24"/>
                <w:szCs w:val="24"/>
              </w:rPr>
              <w:t>LAD</w:t>
            </w:r>
          </w:p>
        </w:tc>
        <w:tc>
          <w:tcPr>
            <w:tcW w:w="0" w:type="auto"/>
            <w:tcBorders>
              <w:top w:val="single" w:sz="12" w:space="0" w:color="auto"/>
              <w:left w:val="nil"/>
              <w:bottom w:val="nil"/>
              <w:right w:val="nil"/>
            </w:tcBorders>
          </w:tcPr>
          <w:p w:rsidR="00524B9E" w:rsidRPr="00170D60" w:rsidRDefault="00524B9E" w:rsidP="000E002E">
            <w:pPr>
              <w:spacing w:line="360" w:lineRule="auto"/>
              <w:jc w:val="center"/>
              <w:rPr>
                <w:sz w:val="24"/>
                <w:szCs w:val="24"/>
              </w:rPr>
            </w:pPr>
            <w:r w:rsidRPr="00170D60">
              <w:rPr>
                <w:rFonts w:hint="eastAsia"/>
                <w:sz w:val="24"/>
                <w:szCs w:val="24"/>
              </w:rPr>
              <w:t>2</w:t>
            </w:r>
            <w:r w:rsidRPr="00170D60">
              <w:rPr>
                <w:sz w:val="24"/>
                <w:szCs w:val="24"/>
              </w:rPr>
              <w:t>.57</w:t>
            </w:r>
          </w:p>
        </w:tc>
        <w:tc>
          <w:tcPr>
            <w:tcW w:w="0" w:type="auto"/>
            <w:tcBorders>
              <w:top w:val="single" w:sz="12" w:space="0" w:color="auto"/>
              <w:left w:val="nil"/>
              <w:bottom w:val="nil"/>
              <w:right w:val="nil"/>
            </w:tcBorders>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.75-8.79</w:t>
            </w:r>
          </w:p>
        </w:tc>
        <w:tc>
          <w:tcPr>
            <w:tcW w:w="0" w:type="auto"/>
            <w:tcBorders>
              <w:top w:val="single" w:sz="12" w:space="0" w:color="auto"/>
              <w:left w:val="nil"/>
              <w:bottom w:val="nil"/>
              <w:right w:val="nil"/>
            </w:tcBorders>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.133</w:t>
            </w:r>
          </w:p>
        </w:tc>
        <w:tc>
          <w:tcPr>
            <w:tcW w:w="0" w:type="auto"/>
            <w:tcBorders>
              <w:top w:val="single" w:sz="12" w:space="0" w:color="auto"/>
              <w:left w:val="nil"/>
              <w:bottom w:val="nil"/>
              <w:right w:val="nil"/>
            </w:tcBorders>
          </w:tcPr>
          <w:p w:rsidR="00524B9E" w:rsidRPr="00170D60" w:rsidRDefault="00524B9E" w:rsidP="000E002E">
            <w:pPr>
              <w:spacing w:line="360" w:lineRule="auto"/>
              <w:jc w:val="center"/>
              <w:rPr>
                <w:sz w:val="24"/>
                <w:szCs w:val="24"/>
              </w:rPr>
            </w:pPr>
          </w:p>
        </w:tc>
        <w:tc>
          <w:tcPr>
            <w:tcW w:w="0" w:type="auto"/>
            <w:tcBorders>
              <w:top w:val="single" w:sz="12" w:space="0" w:color="auto"/>
              <w:left w:val="nil"/>
              <w:bottom w:val="nil"/>
              <w:right w:val="nil"/>
            </w:tcBorders>
          </w:tcPr>
          <w:p w:rsidR="00524B9E" w:rsidRPr="00170D60" w:rsidRDefault="00524B9E" w:rsidP="000E002E">
            <w:pPr>
              <w:spacing w:line="360" w:lineRule="auto"/>
              <w:jc w:val="center"/>
              <w:rPr>
                <w:sz w:val="24"/>
                <w:szCs w:val="24"/>
              </w:rPr>
            </w:pPr>
            <w:r w:rsidRPr="00170D60">
              <w:rPr>
                <w:sz w:val="24"/>
                <w:szCs w:val="24"/>
              </w:rPr>
              <w:t>1.67</w:t>
            </w:r>
          </w:p>
        </w:tc>
        <w:tc>
          <w:tcPr>
            <w:tcW w:w="0" w:type="auto"/>
            <w:tcBorders>
              <w:top w:val="single" w:sz="12" w:space="0" w:color="auto"/>
              <w:left w:val="nil"/>
              <w:bottom w:val="nil"/>
              <w:right w:val="nil"/>
            </w:tcBorders>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.26-10.95</w:t>
            </w:r>
          </w:p>
        </w:tc>
        <w:tc>
          <w:tcPr>
            <w:tcW w:w="0" w:type="auto"/>
            <w:tcBorders>
              <w:top w:val="single" w:sz="12" w:space="0" w:color="auto"/>
              <w:left w:val="nil"/>
              <w:bottom w:val="nil"/>
              <w:right w:val="nil"/>
            </w:tcBorders>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.592</w:t>
            </w:r>
          </w:p>
        </w:tc>
      </w:tr>
      <w:tr w:rsidR="00524B9E" w:rsidRPr="00170D60" w:rsidTr="000E002E">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rPr>
                <w:sz w:val="24"/>
                <w:szCs w:val="24"/>
              </w:rPr>
            </w:pPr>
            <w:r w:rsidRPr="00170D60">
              <w:rPr>
                <w:rFonts w:hint="eastAsia"/>
                <w:sz w:val="24"/>
                <w:szCs w:val="24"/>
              </w:rPr>
              <w:t>P</w:t>
            </w:r>
            <w:r w:rsidRPr="00170D60">
              <w:rPr>
                <w:sz w:val="24"/>
                <w:szCs w:val="24"/>
              </w:rPr>
              <w:t>roximal segment</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1</w:t>
            </w:r>
            <w:r w:rsidRPr="00170D60">
              <w:rPr>
                <w:sz w:val="24"/>
                <w:szCs w:val="24"/>
              </w:rPr>
              <w:t>.39</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.46-4.24</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.564</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1</w:t>
            </w:r>
            <w:r w:rsidRPr="00170D60">
              <w:rPr>
                <w:sz w:val="24"/>
                <w:szCs w:val="24"/>
              </w:rPr>
              <w:t>.06</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.21-5.37</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.942</w:t>
            </w:r>
          </w:p>
        </w:tc>
      </w:tr>
      <w:tr w:rsidR="00524B9E" w:rsidRPr="00170D60" w:rsidTr="000E002E">
        <w:tc>
          <w:tcPr>
            <w:tcW w:w="0" w:type="auto"/>
            <w:tcBorders>
              <w:top w:val="nil"/>
              <w:left w:val="nil"/>
              <w:bottom w:val="nil"/>
              <w:right w:val="nil"/>
            </w:tcBorders>
          </w:tcPr>
          <w:p w:rsidR="00524B9E" w:rsidRPr="00170D60" w:rsidRDefault="00524B9E" w:rsidP="000E002E">
            <w:pPr>
              <w:spacing w:line="360" w:lineRule="auto"/>
              <w:rPr>
                <w:sz w:val="24"/>
                <w:szCs w:val="24"/>
              </w:rPr>
            </w:pPr>
            <w:r w:rsidRPr="00170D60">
              <w:rPr>
                <w:sz w:val="24"/>
                <w:szCs w:val="24"/>
              </w:rPr>
              <w:t>DS≥75</w:t>
            </w:r>
            <w:r w:rsidRPr="00170D60">
              <w:rPr>
                <w:rFonts w:hint="eastAsia"/>
                <w:sz w:val="24"/>
                <w:szCs w:val="24"/>
              </w:rPr>
              <w:t>%</w:t>
            </w: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r w:rsidRPr="00170D60">
              <w:rPr>
                <w:sz w:val="24"/>
                <w:szCs w:val="24"/>
              </w:rPr>
              <w:t>9.07</w:t>
            </w: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r w:rsidRPr="00170D60">
              <w:rPr>
                <w:sz w:val="24"/>
                <w:szCs w:val="24"/>
              </w:rPr>
              <w:t>2.58-31.88</w:t>
            </w: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.001</w:t>
            </w: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r w:rsidRPr="00170D60">
              <w:rPr>
                <w:rFonts w:hint="eastAsia"/>
                <w:sz w:val="24"/>
                <w:szCs w:val="24"/>
              </w:rPr>
              <w:t>1</w:t>
            </w:r>
            <w:r w:rsidRPr="00170D60">
              <w:rPr>
                <w:sz w:val="24"/>
                <w:szCs w:val="24"/>
              </w:rPr>
              <w:t>4.56</w:t>
            </w: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r w:rsidRPr="00170D60">
              <w:rPr>
                <w:rFonts w:hint="eastAsia"/>
                <w:sz w:val="24"/>
                <w:szCs w:val="24"/>
              </w:rPr>
              <w:t>2</w:t>
            </w:r>
            <w:r w:rsidRPr="00170D60">
              <w:rPr>
                <w:sz w:val="24"/>
                <w:szCs w:val="24"/>
              </w:rPr>
              <w:t>.93-72.24</w:t>
            </w: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.001</w:t>
            </w:r>
          </w:p>
        </w:tc>
      </w:tr>
      <w:tr w:rsidR="00524B9E" w:rsidRPr="00170D60" w:rsidTr="000E002E">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rPr>
                <w:sz w:val="24"/>
                <w:szCs w:val="24"/>
              </w:rPr>
            </w:pPr>
            <w:r w:rsidRPr="00170D60">
              <w:rPr>
                <w:sz w:val="24"/>
                <w:szCs w:val="24"/>
              </w:rPr>
              <w:t>Plaque length</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1</w:t>
            </w:r>
            <w:r w:rsidRPr="00170D60">
              <w:rPr>
                <w:sz w:val="24"/>
                <w:szCs w:val="24"/>
              </w:rPr>
              <w:t>.11</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1</w:t>
            </w:r>
            <w:r w:rsidRPr="00170D60">
              <w:rPr>
                <w:sz w:val="24"/>
                <w:szCs w:val="24"/>
              </w:rPr>
              <w:t>.02-1.22</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.023</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sz w:val="24"/>
                <w:szCs w:val="24"/>
              </w:rPr>
              <w:t>1.10</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.99-1.23</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.083</w:t>
            </w:r>
          </w:p>
        </w:tc>
      </w:tr>
      <w:tr w:rsidR="00524B9E" w:rsidRPr="00170D60" w:rsidTr="000E002E">
        <w:tc>
          <w:tcPr>
            <w:tcW w:w="0" w:type="auto"/>
            <w:tcBorders>
              <w:top w:val="nil"/>
              <w:left w:val="nil"/>
              <w:bottom w:val="nil"/>
              <w:right w:val="nil"/>
            </w:tcBorders>
          </w:tcPr>
          <w:p w:rsidR="00524B9E" w:rsidRPr="00170D60" w:rsidRDefault="00524B9E" w:rsidP="000E002E">
            <w:pPr>
              <w:spacing w:line="360" w:lineRule="auto"/>
              <w:rPr>
                <w:sz w:val="24"/>
                <w:szCs w:val="24"/>
              </w:rPr>
            </w:pPr>
            <w:r w:rsidRPr="00170D60">
              <w:rPr>
                <w:sz w:val="24"/>
                <w:szCs w:val="24"/>
              </w:rPr>
              <w:t>Plaque volume</w:t>
            </w: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r w:rsidRPr="00170D60">
              <w:rPr>
                <w:rFonts w:hint="eastAsia"/>
                <w:sz w:val="24"/>
                <w:szCs w:val="24"/>
              </w:rPr>
              <w:t>1</w:t>
            </w:r>
            <w:r w:rsidRPr="00170D60">
              <w:rPr>
                <w:sz w:val="24"/>
                <w:szCs w:val="24"/>
              </w:rPr>
              <w:t>.004</w:t>
            </w: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.997-1.010</w:t>
            </w: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.298</w:t>
            </w: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p>
        </w:tc>
        <w:tc>
          <w:tcPr>
            <w:tcW w:w="0" w:type="auto"/>
            <w:tcBorders>
              <w:top w:val="nil"/>
              <w:left w:val="nil"/>
              <w:bottom w:val="nil"/>
              <w:right w:val="nil"/>
            </w:tcBorders>
          </w:tcPr>
          <w:p w:rsidR="00524B9E" w:rsidRPr="00170D60" w:rsidRDefault="00524B9E" w:rsidP="000E002E">
            <w:pPr>
              <w:spacing w:line="360" w:lineRule="auto"/>
              <w:jc w:val="center"/>
              <w:rPr>
                <w:sz w:val="24"/>
                <w:szCs w:val="24"/>
              </w:rPr>
            </w:pPr>
          </w:p>
        </w:tc>
      </w:tr>
      <w:tr w:rsidR="00524B9E" w:rsidRPr="00170D60" w:rsidTr="000E002E">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rPr>
                <w:sz w:val="24"/>
                <w:szCs w:val="24"/>
              </w:rPr>
            </w:pPr>
            <w:r w:rsidRPr="00170D60">
              <w:rPr>
                <w:sz w:val="24"/>
                <w:szCs w:val="24"/>
              </w:rPr>
              <w:t>Plaque calcification</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sz w:val="24"/>
                <w:szCs w:val="24"/>
              </w:rPr>
              <w:t>1.83</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.60-5.54</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.286</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sz w:val="24"/>
                <w:szCs w:val="24"/>
              </w:rPr>
              <w:t>1.34</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.26-6.91</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.729</w:t>
            </w:r>
          </w:p>
        </w:tc>
      </w:tr>
      <w:tr w:rsidR="00524B9E" w:rsidRPr="00170D60" w:rsidTr="000E002E">
        <w:tc>
          <w:tcPr>
            <w:tcW w:w="0" w:type="auto"/>
            <w:tcBorders>
              <w:top w:val="nil"/>
              <w:left w:val="nil"/>
              <w:bottom w:val="nil"/>
              <w:right w:val="nil"/>
            </w:tcBorders>
            <w:shd w:val="clear" w:color="auto" w:fill="FFFFFF" w:themeFill="background1"/>
          </w:tcPr>
          <w:p w:rsidR="00524B9E" w:rsidRPr="00170D60" w:rsidRDefault="00524B9E" w:rsidP="000E002E">
            <w:pPr>
              <w:spacing w:line="360" w:lineRule="auto"/>
              <w:rPr>
                <w:sz w:val="24"/>
                <w:szCs w:val="24"/>
              </w:rPr>
            </w:pPr>
            <w:r w:rsidRPr="00170D60">
              <w:rPr>
                <w:rFonts w:hint="eastAsia"/>
                <w:sz w:val="24"/>
                <w:szCs w:val="24"/>
              </w:rPr>
              <w:t>P</w:t>
            </w:r>
            <w:r w:rsidRPr="00170D60">
              <w:rPr>
                <w:sz w:val="24"/>
                <w:szCs w:val="24"/>
              </w:rPr>
              <w:t>roximal RVD</w:t>
            </w:r>
          </w:p>
        </w:tc>
        <w:tc>
          <w:tcPr>
            <w:tcW w:w="0" w:type="auto"/>
            <w:tcBorders>
              <w:top w:val="nil"/>
              <w:left w:val="nil"/>
              <w:bottom w:val="nil"/>
              <w:right w:val="nil"/>
            </w:tcBorders>
            <w:shd w:val="clear" w:color="auto" w:fill="FFFFFF" w:themeFill="background1"/>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.59</w:t>
            </w:r>
          </w:p>
        </w:tc>
        <w:tc>
          <w:tcPr>
            <w:tcW w:w="0" w:type="auto"/>
            <w:tcBorders>
              <w:top w:val="nil"/>
              <w:left w:val="nil"/>
              <w:bottom w:val="nil"/>
              <w:right w:val="nil"/>
            </w:tcBorders>
            <w:shd w:val="clear" w:color="auto" w:fill="FFFFFF" w:themeFill="background1"/>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.20-1.74</w:t>
            </w:r>
          </w:p>
        </w:tc>
        <w:tc>
          <w:tcPr>
            <w:tcW w:w="0" w:type="auto"/>
            <w:tcBorders>
              <w:top w:val="nil"/>
              <w:left w:val="nil"/>
              <w:bottom w:val="nil"/>
              <w:right w:val="nil"/>
            </w:tcBorders>
            <w:shd w:val="clear" w:color="auto" w:fill="FFFFFF" w:themeFill="background1"/>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.336</w:t>
            </w:r>
          </w:p>
        </w:tc>
        <w:tc>
          <w:tcPr>
            <w:tcW w:w="0" w:type="auto"/>
            <w:tcBorders>
              <w:top w:val="nil"/>
              <w:left w:val="nil"/>
              <w:bottom w:val="nil"/>
              <w:right w:val="nil"/>
            </w:tcBorders>
            <w:shd w:val="clear" w:color="auto" w:fill="FFFFFF" w:themeFill="background1"/>
          </w:tcPr>
          <w:p w:rsidR="00524B9E" w:rsidRPr="00170D60" w:rsidRDefault="00524B9E" w:rsidP="000E002E">
            <w:pPr>
              <w:spacing w:line="360" w:lineRule="auto"/>
              <w:jc w:val="center"/>
              <w:rPr>
                <w:sz w:val="24"/>
                <w:szCs w:val="24"/>
              </w:rPr>
            </w:pPr>
          </w:p>
        </w:tc>
        <w:tc>
          <w:tcPr>
            <w:tcW w:w="0" w:type="auto"/>
            <w:tcBorders>
              <w:top w:val="nil"/>
              <w:left w:val="nil"/>
              <w:bottom w:val="nil"/>
              <w:right w:val="nil"/>
            </w:tcBorders>
            <w:shd w:val="clear" w:color="auto" w:fill="FFFFFF" w:themeFill="background1"/>
          </w:tcPr>
          <w:p w:rsidR="00524B9E" w:rsidRPr="00170D60" w:rsidRDefault="00524B9E" w:rsidP="000E002E">
            <w:pPr>
              <w:spacing w:line="360" w:lineRule="auto"/>
              <w:jc w:val="center"/>
              <w:rPr>
                <w:sz w:val="24"/>
                <w:szCs w:val="24"/>
              </w:rPr>
            </w:pPr>
          </w:p>
        </w:tc>
        <w:tc>
          <w:tcPr>
            <w:tcW w:w="0" w:type="auto"/>
            <w:tcBorders>
              <w:top w:val="nil"/>
              <w:left w:val="nil"/>
              <w:bottom w:val="nil"/>
              <w:right w:val="nil"/>
            </w:tcBorders>
            <w:shd w:val="clear" w:color="auto" w:fill="FFFFFF" w:themeFill="background1"/>
          </w:tcPr>
          <w:p w:rsidR="00524B9E" w:rsidRPr="00170D60" w:rsidRDefault="00524B9E" w:rsidP="000E002E">
            <w:pPr>
              <w:spacing w:line="360" w:lineRule="auto"/>
              <w:jc w:val="center"/>
              <w:rPr>
                <w:sz w:val="24"/>
                <w:szCs w:val="24"/>
              </w:rPr>
            </w:pPr>
          </w:p>
        </w:tc>
        <w:tc>
          <w:tcPr>
            <w:tcW w:w="0" w:type="auto"/>
            <w:tcBorders>
              <w:top w:val="nil"/>
              <w:left w:val="nil"/>
              <w:bottom w:val="nil"/>
              <w:right w:val="nil"/>
            </w:tcBorders>
            <w:shd w:val="clear" w:color="auto" w:fill="FFFFFF" w:themeFill="background1"/>
          </w:tcPr>
          <w:p w:rsidR="00524B9E" w:rsidRPr="00170D60" w:rsidRDefault="00524B9E" w:rsidP="000E002E">
            <w:pPr>
              <w:spacing w:line="360" w:lineRule="auto"/>
              <w:jc w:val="center"/>
              <w:rPr>
                <w:sz w:val="24"/>
                <w:szCs w:val="24"/>
              </w:rPr>
            </w:pPr>
          </w:p>
        </w:tc>
      </w:tr>
      <w:tr w:rsidR="00524B9E" w:rsidRPr="00170D60" w:rsidTr="000E002E">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rPr>
                <w:sz w:val="24"/>
                <w:szCs w:val="24"/>
              </w:rPr>
            </w:pPr>
            <w:r w:rsidRPr="00170D60">
              <w:rPr>
                <w:rFonts w:hint="eastAsia"/>
                <w:sz w:val="24"/>
                <w:szCs w:val="24"/>
              </w:rPr>
              <w:t>D</w:t>
            </w:r>
            <w:r w:rsidRPr="00170D60">
              <w:rPr>
                <w:sz w:val="24"/>
                <w:szCs w:val="24"/>
              </w:rPr>
              <w:t>istal RVD</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.37</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.12-1.14</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.083</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.42</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.10-1.78</w:t>
            </w:r>
          </w:p>
        </w:tc>
        <w:tc>
          <w:tcPr>
            <w:tcW w:w="0" w:type="auto"/>
            <w:tcBorders>
              <w:top w:val="nil"/>
              <w:left w:val="nil"/>
              <w:bottom w:val="nil"/>
              <w:right w:val="nil"/>
            </w:tcBorders>
            <w:shd w:val="clear" w:color="auto" w:fill="BFBFBF" w:themeFill="background1" w:themeFillShade="BF"/>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.236</w:t>
            </w:r>
          </w:p>
        </w:tc>
      </w:tr>
      <w:tr w:rsidR="00524B9E" w:rsidRPr="00170D60" w:rsidTr="000E002E">
        <w:tc>
          <w:tcPr>
            <w:tcW w:w="0" w:type="auto"/>
            <w:tcBorders>
              <w:top w:val="nil"/>
              <w:left w:val="nil"/>
              <w:bottom w:val="single" w:sz="12" w:space="0" w:color="auto"/>
              <w:right w:val="nil"/>
            </w:tcBorders>
          </w:tcPr>
          <w:p w:rsidR="00524B9E" w:rsidRPr="00170D60" w:rsidRDefault="00524B9E" w:rsidP="000E002E">
            <w:pPr>
              <w:spacing w:line="360" w:lineRule="auto"/>
              <w:rPr>
                <w:sz w:val="24"/>
                <w:szCs w:val="24"/>
              </w:rPr>
            </w:pPr>
            <w:r w:rsidRPr="00170D60">
              <w:rPr>
                <w:sz w:val="24"/>
                <w:szCs w:val="24"/>
              </w:rPr>
              <w:t>leEAT volume index</w:t>
            </w:r>
          </w:p>
          <w:p w:rsidR="00524B9E" w:rsidRPr="00170D60" w:rsidRDefault="00524B9E" w:rsidP="000E002E">
            <w:pPr>
              <w:spacing w:line="360" w:lineRule="auto"/>
              <w:rPr>
                <w:sz w:val="24"/>
                <w:szCs w:val="24"/>
              </w:rPr>
            </w:pPr>
            <w:r w:rsidRPr="00170D60">
              <w:rPr>
                <w:sz w:val="24"/>
                <w:szCs w:val="24"/>
              </w:rPr>
              <w:t>(per 0.1 ml/m</w:t>
            </w:r>
            <w:r w:rsidRPr="00170D60">
              <w:rPr>
                <w:sz w:val="24"/>
                <w:szCs w:val="24"/>
                <w:vertAlign w:val="superscript"/>
              </w:rPr>
              <w:t>2</w:t>
            </w:r>
            <w:r w:rsidRPr="00170D60">
              <w:rPr>
                <w:sz w:val="24"/>
                <w:szCs w:val="24"/>
              </w:rPr>
              <w:t xml:space="preserve"> increase)</w:t>
            </w:r>
          </w:p>
        </w:tc>
        <w:tc>
          <w:tcPr>
            <w:tcW w:w="0" w:type="auto"/>
            <w:tcBorders>
              <w:top w:val="nil"/>
              <w:left w:val="nil"/>
              <w:bottom w:val="single" w:sz="12" w:space="0" w:color="auto"/>
              <w:right w:val="nil"/>
            </w:tcBorders>
          </w:tcPr>
          <w:p w:rsidR="00524B9E" w:rsidRPr="00170D60" w:rsidRDefault="00524B9E" w:rsidP="000E002E">
            <w:pPr>
              <w:spacing w:line="360" w:lineRule="auto"/>
              <w:jc w:val="center"/>
              <w:rPr>
                <w:sz w:val="24"/>
                <w:szCs w:val="24"/>
              </w:rPr>
            </w:pPr>
            <w:r w:rsidRPr="00170D60">
              <w:rPr>
                <w:sz w:val="24"/>
                <w:szCs w:val="24"/>
              </w:rPr>
              <w:t>1.37</w:t>
            </w:r>
          </w:p>
        </w:tc>
        <w:tc>
          <w:tcPr>
            <w:tcW w:w="0" w:type="auto"/>
            <w:tcBorders>
              <w:top w:val="nil"/>
              <w:left w:val="nil"/>
              <w:bottom w:val="single" w:sz="12" w:space="0" w:color="auto"/>
              <w:right w:val="nil"/>
            </w:tcBorders>
          </w:tcPr>
          <w:p w:rsidR="00524B9E" w:rsidRPr="00170D60" w:rsidRDefault="00524B9E" w:rsidP="000E002E">
            <w:pPr>
              <w:spacing w:line="360" w:lineRule="auto"/>
              <w:jc w:val="center"/>
              <w:rPr>
                <w:sz w:val="24"/>
                <w:szCs w:val="24"/>
              </w:rPr>
            </w:pPr>
            <w:r w:rsidRPr="00170D60">
              <w:rPr>
                <w:sz w:val="24"/>
                <w:szCs w:val="24"/>
              </w:rPr>
              <w:t>1.01-1.87</w:t>
            </w:r>
          </w:p>
        </w:tc>
        <w:tc>
          <w:tcPr>
            <w:tcW w:w="0" w:type="auto"/>
            <w:tcBorders>
              <w:top w:val="nil"/>
              <w:left w:val="nil"/>
              <w:bottom w:val="single" w:sz="12" w:space="0" w:color="auto"/>
              <w:right w:val="nil"/>
            </w:tcBorders>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.042</w:t>
            </w:r>
          </w:p>
        </w:tc>
        <w:tc>
          <w:tcPr>
            <w:tcW w:w="0" w:type="auto"/>
            <w:tcBorders>
              <w:top w:val="nil"/>
              <w:left w:val="nil"/>
              <w:bottom w:val="single" w:sz="12" w:space="0" w:color="auto"/>
              <w:right w:val="nil"/>
            </w:tcBorders>
          </w:tcPr>
          <w:p w:rsidR="00524B9E" w:rsidRPr="00170D60" w:rsidRDefault="00524B9E" w:rsidP="000E002E">
            <w:pPr>
              <w:spacing w:line="360" w:lineRule="auto"/>
              <w:jc w:val="center"/>
              <w:rPr>
                <w:sz w:val="24"/>
                <w:szCs w:val="24"/>
              </w:rPr>
            </w:pPr>
          </w:p>
        </w:tc>
        <w:tc>
          <w:tcPr>
            <w:tcW w:w="0" w:type="auto"/>
            <w:tcBorders>
              <w:top w:val="nil"/>
              <w:left w:val="nil"/>
              <w:bottom w:val="single" w:sz="12" w:space="0" w:color="auto"/>
              <w:right w:val="nil"/>
            </w:tcBorders>
          </w:tcPr>
          <w:p w:rsidR="00524B9E" w:rsidRPr="00170D60" w:rsidRDefault="00524B9E" w:rsidP="000E002E">
            <w:pPr>
              <w:spacing w:line="360" w:lineRule="auto"/>
              <w:jc w:val="center"/>
              <w:rPr>
                <w:sz w:val="24"/>
                <w:szCs w:val="24"/>
              </w:rPr>
            </w:pPr>
            <w:r w:rsidRPr="00170D60">
              <w:rPr>
                <w:rFonts w:hint="eastAsia"/>
                <w:sz w:val="24"/>
                <w:szCs w:val="24"/>
              </w:rPr>
              <w:t>1</w:t>
            </w:r>
            <w:r w:rsidRPr="00170D60">
              <w:rPr>
                <w:sz w:val="24"/>
                <w:szCs w:val="24"/>
              </w:rPr>
              <w:t>.56</w:t>
            </w:r>
          </w:p>
        </w:tc>
        <w:tc>
          <w:tcPr>
            <w:tcW w:w="0" w:type="auto"/>
            <w:tcBorders>
              <w:top w:val="nil"/>
              <w:left w:val="nil"/>
              <w:bottom w:val="single" w:sz="12" w:space="0" w:color="auto"/>
              <w:right w:val="nil"/>
            </w:tcBorders>
          </w:tcPr>
          <w:p w:rsidR="00524B9E" w:rsidRPr="00170D60" w:rsidRDefault="00524B9E" w:rsidP="000E002E">
            <w:pPr>
              <w:spacing w:line="360" w:lineRule="auto"/>
              <w:jc w:val="center"/>
              <w:rPr>
                <w:sz w:val="24"/>
                <w:szCs w:val="24"/>
              </w:rPr>
            </w:pPr>
            <w:r w:rsidRPr="00170D60">
              <w:rPr>
                <w:rFonts w:hint="eastAsia"/>
                <w:sz w:val="24"/>
                <w:szCs w:val="24"/>
              </w:rPr>
              <w:t>1</w:t>
            </w:r>
            <w:r w:rsidRPr="00170D60">
              <w:rPr>
                <w:sz w:val="24"/>
                <w:szCs w:val="24"/>
              </w:rPr>
              <w:t>.04-2.33</w:t>
            </w:r>
          </w:p>
        </w:tc>
        <w:tc>
          <w:tcPr>
            <w:tcW w:w="0" w:type="auto"/>
            <w:tcBorders>
              <w:top w:val="nil"/>
              <w:left w:val="nil"/>
              <w:bottom w:val="single" w:sz="12" w:space="0" w:color="auto"/>
              <w:right w:val="nil"/>
            </w:tcBorders>
          </w:tcPr>
          <w:p w:rsidR="00524B9E" w:rsidRPr="00170D60" w:rsidRDefault="00524B9E" w:rsidP="000E002E">
            <w:pPr>
              <w:spacing w:line="360" w:lineRule="auto"/>
              <w:jc w:val="center"/>
              <w:rPr>
                <w:sz w:val="24"/>
                <w:szCs w:val="24"/>
              </w:rPr>
            </w:pPr>
            <w:r w:rsidRPr="00170D60">
              <w:rPr>
                <w:rFonts w:hint="eastAsia"/>
                <w:sz w:val="24"/>
                <w:szCs w:val="24"/>
              </w:rPr>
              <w:t>0</w:t>
            </w:r>
            <w:r w:rsidRPr="00170D60">
              <w:rPr>
                <w:sz w:val="24"/>
                <w:szCs w:val="24"/>
              </w:rPr>
              <w:t>.032</w:t>
            </w:r>
          </w:p>
        </w:tc>
      </w:tr>
    </w:tbl>
    <w:p w:rsidR="00524B9E" w:rsidRPr="00170D60" w:rsidRDefault="00524B9E" w:rsidP="00524B9E">
      <w:pPr>
        <w:spacing w:line="360" w:lineRule="auto"/>
        <w:rPr>
          <w:sz w:val="24"/>
          <w:szCs w:val="24"/>
        </w:rPr>
      </w:pPr>
      <w:r w:rsidRPr="00170D60">
        <w:rPr>
          <w:rFonts w:hint="eastAsia"/>
          <w:sz w:val="24"/>
          <w:szCs w:val="24"/>
        </w:rPr>
        <w:t>H</w:t>
      </w:r>
      <w:r w:rsidRPr="00170D60">
        <w:rPr>
          <w:sz w:val="24"/>
          <w:szCs w:val="24"/>
        </w:rPr>
        <w:t>R, hazard ratio; CI, confidence interval; LAD, left anterior descending; DS, diameter stenosis; RVD, reference vessel diameter; leEAT, peri-lesion epicardial adipose tissue.</w:t>
      </w:r>
    </w:p>
    <w:p w:rsidR="00524B9E" w:rsidRPr="00524B9E" w:rsidRDefault="00524B9E" w:rsidP="00170D60">
      <w:pPr>
        <w:spacing w:line="360" w:lineRule="auto"/>
        <w:rPr>
          <w:sz w:val="24"/>
          <w:szCs w:val="24"/>
        </w:rPr>
      </w:pPr>
    </w:p>
    <w:sectPr w:rsidR="00524B9E" w:rsidRPr="00524B9E" w:rsidSect="00170D6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4F25" w:rsidRDefault="00634F25" w:rsidP="00E7784E">
      <w:r>
        <w:separator/>
      </w:r>
    </w:p>
  </w:endnote>
  <w:endnote w:type="continuationSeparator" w:id="0">
    <w:p w:rsidR="00634F25" w:rsidRDefault="00634F25" w:rsidP="00E77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4F25" w:rsidRDefault="00634F25" w:rsidP="00E7784E">
      <w:r>
        <w:separator/>
      </w:r>
    </w:p>
  </w:footnote>
  <w:footnote w:type="continuationSeparator" w:id="0">
    <w:p w:rsidR="00634F25" w:rsidRDefault="00634F25" w:rsidP="00E778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anadian J Cardi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vd0rpeeu9zzt0edr06xp5rd2etspatp0fdd&quot;&gt;FFR-CT EAT&lt;record-ids&gt;&lt;item&gt;1&lt;/item&gt;&lt;item&gt;4&lt;/item&gt;&lt;/record-ids&gt;&lt;/item&gt;&lt;/Libraries&gt;"/>
  </w:docVars>
  <w:rsids>
    <w:rsidRoot w:val="00865E3A"/>
    <w:rsid w:val="000C050D"/>
    <w:rsid w:val="00170D60"/>
    <w:rsid w:val="001F5577"/>
    <w:rsid w:val="0042428B"/>
    <w:rsid w:val="00493EBC"/>
    <w:rsid w:val="004E0888"/>
    <w:rsid w:val="00504472"/>
    <w:rsid w:val="00506EB5"/>
    <w:rsid w:val="00524B9E"/>
    <w:rsid w:val="00560546"/>
    <w:rsid w:val="005B5A6C"/>
    <w:rsid w:val="00634F25"/>
    <w:rsid w:val="00662291"/>
    <w:rsid w:val="00676191"/>
    <w:rsid w:val="006B4675"/>
    <w:rsid w:val="00762A39"/>
    <w:rsid w:val="0079654F"/>
    <w:rsid w:val="007B0B09"/>
    <w:rsid w:val="008363FB"/>
    <w:rsid w:val="00861FB3"/>
    <w:rsid w:val="00865E3A"/>
    <w:rsid w:val="00903047"/>
    <w:rsid w:val="0094027C"/>
    <w:rsid w:val="00A31BB7"/>
    <w:rsid w:val="00A31BDD"/>
    <w:rsid w:val="00AE5F71"/>
    <w:rsid w:val="00B17AB2"/>
    <w:rsid w:val="00B36756"/>
    <w:rsid w:val="00B47BA7"/>
    <w:rsid w:val="00BB6E83"/>
    <w:rsid w:val="00CB78D6"/>
    <w:rsid w:val="00D15E7A"/>
    <w:rsid w:val="00D5101E"/>
    <w:rsid w:val="00DC351C"/>
    <w:rsid w:val="00E7784E"/>
    <w:rsid w:val="00E90092"/>
    <w:rsid w:val="00ED043A"/>
    <w:rsid w:val="00F55643"/>
    <w:rsid w:val="00FC6E0D"/>
    <w:rsid w:val="00FF1C50"/>
    <w:rsid w:val="00FF7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7318AE8-A411-496A-8770-587504AC9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778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7784E"/>
    <w:rPr>
      <w:sz w:val="18"/>
      <w:szCs w:val="18"/>
    </w:rPr>
  </w:style>
  <w:style w:type="paragraph" w:styleId="a4">
    <w:name w:val="footer"/>
    <w:basedOn w:val="a"/>
    <w:link w:val="Char0"/>
    <w:uiPriority w:val="99"/>
    <w:unhideWhenUsed/>
    <w:rsid w:val="00E7784E"/>
    <w:pPr>
      <w:tabs>
        <w:tab w:val="center" w:pos="4153"/>
        <w:tab w:val="right" w:pos="8306"/>
      </w:tabs>
      <w:snapToGrid w:val="0"/>
      <w:jc w:val="left"/>
    </w:pPr>
    <w:rPr>
      <w:sz w:val="18"/>
      <w:szCs w:val="18"/>
    </w:rPr>
  </w:style>
  <w:style w:type="character" w:customStyle="1" w:styleId="Char0">
    <w:name w:val="页脚 Char"/>
    <w:basedOn w:val="a0"/>
    <w:link w:val="a4"/>
    <w:uiPriority w:val="99"/>
    <w:rsid w:val="00E7784E"/>
    <w:rPr>
      <w:sz w:val="18"/>
      <w:szCs w:val="18"/>
    </w:rPr>
  </w:style>
  <w:style w:type="table" w:styleId="a5">
    <w:name w:val="Table Grid"/>
    <w:basedOn w:val="a1"/>
    <w:uiPriority w:val="39"/>
    <w:rsid w:val="005B5A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Char"/>
    <w:rsid w:val="00506EB5"/>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506EB5"/>
    <w:rPr>
      <w:rFonts w:ascii="Calibri" w:hAnsi="Calibri" w:cs="Calibri"/>
      <w:noProof/>
      <w:sz w:val="20"/>
    </w:rPr>
  </w:style>
  <w:style w:type="paragraph" w:customStyle="1" w:styleId="EndNoteBibliography">
    <w:name w:val="EndNote Bibliography"/>
    <w:basedOn w:val="a"/>
    <w:link w:val="EndNoteBibliographyChar"/>
    <w:rsid w:val="00506EB5"/>
    <w:rPr>
      <w:rFonts w:ascii="Calibri" w:hAnsi="Calibri" w:cs="Calibri"/>
      <w:noProof/>
      <w:sz w:val="20"/>
    </w:rPr>
  </w:style>
  <w:style w:type="character" w:customStyle="1" w:styleId="EndNoteBibliographyChar">
    <w:name w:val="EndNote Bibliography Char"/>
    <w:basedOn w:val="a0"/>
    <w:link w:val="EndNoteBibliography"/>
    <w:rsid w:val="00506EB5"/>
    <w:rPr>
      <w:rFonts w:ascii="Calibri" w:hAnsi="Calibri" w:cs="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1626218">
      <w:bodyDiv w:val="1"/>
      <w:marLeft w:val="0"/>
      <w:marRight w:val="0"/>
      <w:marTop w:val="0"/>
      <w:marBottom w:val="0"/>
      <w:divBdr>
        <w:top w:val="none" w:sz="0" w:space="0" w:color="auto"/>
        <w:left w:val="none" w:sz="0" w:space="0" w:color="auto"/>
        <w:bottom w:val="none" w:sz="0" w:space="0" w:color="auto"/>
        <w:right w:val="none" w:sz="0" w:space="0" w:color="auto"/>
      </w:divBdr>
    </w:div>
    <w:div w:id="1763721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245</TotalTime>
  <Pages>3</Pages>
  <Words>235</Words>
  <Characters>1340</Characters>
  <Application>Microsoft Office Word</Application>
  <DocSecurity>0</DocSecurity>
  <Lines>11</Lines>
  <Paragraphs>3</Paragraphs>
  <ScaleCrop>false</ScaleCrop>
  <Company>Microsoft</Company>
  <LinksUpToDate>false</LinksUpToDate>
  <CharactersWithSpaces>1572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RetailAdmin</dc:creator>
  <cp:keywords/>
  <dc:description/>
  <cp:lastModifiedBy>RetailAdmin</cp:lastModifiedBy>
  <cp:revision>20</cp:revision>
  <dcterms:created xsi:type="dcterms:W3CDTF">2018-11-22T02:07:00Z</dcterms:created>
  <dcterms:modified xsi:type="dcterms:W3CDTF">2019-09-04T02:52:00Z</dcterms:modified>
</cp:coreProperties>
</file>